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21D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  <w:t>附件2</w:t>
      </w:r>
    </w:p>
    <w:p w14:paraId="36A371A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  <w:t>“企业环境、社会与治理（ESG）评价师”证书开发机构简介</w:t>
      </w:r>
    </w:p>
    <w:p w14:paraId="6CF0FE0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28"/>
          <w:szCs w:val="28"/>
          <w:vertAlign w:val="baseline"/>
          <w:lang w:val="en-US" w:eastAsia="zh-CN"/>
        </w:rPr>
      </w:pPr>
    </w:p>
    <w:p w14:paraId="075671C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  <w:t>一、中国认证认可协会（CCAA）</w:t>
      </w:r>
    </w:p>
    <w:p w14:paraId="5FDE73D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CCAA作为民政部评价的5A级全国性行业协会，也是国际人员认证协会的全权成员。自2005年成立以来，CCAA按照国际通行的ISO/IEC 17024《合格评定人员认证机构通用要求》，致力于专业的认证人员能力建设，并根据国家市场监督管理总局要求，负责认证人员国家注册制度、考试制度的实施，在长期的发展历程中积累了丰富的人员评价经验，具备完善的人员评价制度与配套的管理信息系统。 </w:t>
      </w:r>
    </w:p>
    <w:p w14:paraId="2031928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  <w:t>二、中央财经大学可持续准则研究中心（SSRC）</w:t>
      </w:r>
    </w:p>
    <w:p w14:paraId="6EDBFE5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中央财经大学是教育部、财政部和北京市人民政府共建的教育部直属高校，是国家“双一流”建设、“211工程”建设和首批“985优势学科创新平台”项目建设高校。SSRC作为中央财经大学经济学院成立的跨学科前沿学术研究机构，专注于ESG领域相关研究，中心刘轶芳教授研究团队自2016年起，服务于中国绿色金融顶层设计《关于构建绿色金融体系的指导意见》的制定；2023 年起，SSRC 同步开展国际可持续准则理事会（ISSB）《国际财务报告可持续披露准则》（IFRS S1/S2）的研究、评估与对标工作。</w:t>
      </w:r>
    </w:p>
    <w:p w14:paraId="42CA91E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2024年9月刘轶芳教授入选财政部首届可持续披露准则咨询专家名单。SSRC中心团队成员兼任国家标准化管理委员会ESG标准化项目研究组成员、ISO ESG研究组成员以及可持续金融技术委员会成员、人社部绿色职业外部专家，并参与制定《碳排放管理员国家职业标准》等文件。</w:t>
      </w:r>
    </w:p>
    <w:p w14:paraId="23EF3DC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  <w:t>三、香港品质保证局</w:t>
      </w:r>
    </w:p>
    <w:p w14:paraId="6B4581D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香港品质保证局（HKQAA）是香港特区政府于1989年成立的非牟利公营机构；多年来积极参与制定国际、国家及行业标准，致力推广优质管理办法，促进商界及社会的可持续发展；因应社会发展需求，围绕不同重要议题研发创新评审、披露、培训工具和服务；内地全资拥有公司「港品局合格评定（深圳）有限公司）」，在香港、澳门、广州、上海、深圳、西安皆设有办公室。</w:t>
      </w:r>
    </w:p>
    <w:p w14:paraId="7B519BB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自2014年起，香港品质保证局推出「可持续发展评级与研究」平台，为「恒生可持续发展企业指数系列」对约1800家港股及A股上市公司的可持续发展表现进行评级，并发布年度整体评级研究报告。该评级结果在香港交易所平台上，与MSCI（明晟）和标普（S&amp;P）的评级结果一同展示。</w:t>
      </w:r>
    </w:p>
    <w:p w14:paraId="31EF99A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drawing>
          <wp:inline distT="0" distB="0" distL="114300" distR="114300">
            <wp:extent cx="2675255" cy="3771900"/>
            <wp:effectExtent l="0" t="0" r="1079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0246">
      <w:pPr>
        <w:keepNext w:val="0"/>
        <w:keepLines w:val="0"/>
        <w:widowControl/>
        <w:suppressLineNumbers w:val="0"/>
        <w:overflowPunct w:val="0"/>
        <w:topLinePunct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rightChars="0" w:firstLine="0" w:firstLineChars="0"/>
        <w:jc w:val="center"/>
        <w:textAlignment w:val="baseline"/>
        <w:rPr>
          <w:rFonts w:hint="default" w:ascii="仿宋" w:hAnsi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（证书示例）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D00BC-0240-453C-8ECE-F9822B09DB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06E237-614E-4D57-87AB-CF75285064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0FA12F9"/>
    <w:rsid w:val="079363CC"/>
    <w:rsid w:val="08D92C7A"/>
    <w:rsid w:val="08DC38C0"/>
    <w:rsid w:val="0A6B2A34"/>
    <w:rsid w:val="0C3045C1"/>
    <w:rsid w:val="119B126F"/>
    <w:rsid w:val="12A9252A"/>
    <w:rsid w:val="14204272"/>
    <w:rsid w:val="16584558"/>
    <w:rsid w:val="1FD041BD"/>
    <w:rsid w:val="213E08FD"/>
    <w:rsid w:val="221C3BC3"/>
    <w:rsid w:val="24305A06"/>
    <w:rsid w:val="249064A3"/>
    <w:rsid w:val="285029DF"/>
    <w:rsid w:val="2D64728A"/>
    <w:rsid w:val="30EE39BD"/>
    <w:rsid w:val="32216AEE"/>
    <w:rsid w:val="32932A43"/>
    <w:rsid w:val="35AC5D1D"/>
    <w:rsid w:val="36A349B6"/>
    <w:rsid w:val="381B10DF"/>
    <w:rsid w:val="3E485481"/>
    <w:rsid w:val="487165D7"/>
    <w:rsid w:val="49FD0AE9"/>
    <w:rsid w:val="4A346139"/>
    <w:rsid w:val="4DB0255D"/>
    <w:rsid w:val="50596D96"/>
    <w:rsid w:val="54085574"/>
    <w:rsid w:val="56A20F30"/>
    <w:rsid w:val="57B50E06"/>
    <w:rsid w:val="5B6C2D6A"/>
    <w:rsid w:val="5B7E67CF"/>
    <w:rsid w:val="5EDE751F"/>
    <w:rsid w:val="62742739"/>
    <w:rsid w:val="64317ACE"/>
    <w:rsid w:val="66E4557B"/>
    <w:rsid w:val="683D50E7"/>
    <w:rsid w:val="68E67B57"/>
    <w:rsid w:val="6C785500"/>
    <w:rsid w:val="6CB947E3"/>
    <w:rsid w:val="70612678"/>
    <w:rsid w:val="71325174"/>
    <w:rsid w:val="793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ind w:firstLine="0" w:firstLineChars="0"/>
      <w:outlineLvl w:val="1"/>
    </w:pPr>
    <w:rPr>
      <w:rFonts w:ascii="Arial" w:hAnsi="Arial"/>
      <w:b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2709</Words>
  <Characters>2947</Characters>
  <Paragraphs>56</Paragraphs>
  <TotalTime>4</TotalTime>
  <ScaleCrop>false</ScaleCrop>
  <LinksUpToDate>false</LinksUpToDate>
  <CharactersWithSpaces>3035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2025-06-03T03:29:57Z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A591819D9FAF44FDBF680B8BA2AD12E1_13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