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Pr>
          <w:b/>
          <w:bCs/>
          <w:sz w:val="32"/>
          <w:szCs w:val="32"/>
        </w:rPr>
      </w:pPr>
      <w:bookmarkStart w:id="0" w:name="_Hlk78812875"/>
      <w:r>
        <w:rPr>
          <w:b/>
          <w:bCs/>
          <w:sz w:val="32"/>
          <w:szCs w:val="32"/>
        </w:rPr>
        <w:t>附件5：</w:t>
      </w:r>
    </w:p>
    <w:p>
      <w:pPr>
        <w:spacing w:after="145" w:afterLines="50" w:line="360" w:lineRule="auto"/>
        <w:jc w:val="center"/>
        <w:rPr>
          <w:rFonts w:eastAsia="仿宋_GB2312"/>
          <w:b/>
          <w:bCs/>
          <w:sz w:val="32"/>
          <w:szCs w:val="32"/>
        </w:rPr>
      </w:pPr>
      <w:r>
        <w:rPr>
          <w:rFonts w:eastAsia="仿宋_GB2312"/>
          <w:b/>
          <w:bCs/>
          <w:sz w:val="32"/>
          <w:szCs w:val="32"/>
        </w:rPr>
        <w:t>广东省资源综合利用企业到期名单</w:t>
      </w:r>
    </w:p>
    <w:bookmarkEnd w:id="0"/>
    <w:tbl>
      <w:tblPr>
        <w:tblStyle w:val="8"/>
        <w:tblW w:w="5000" w:type="pct"/>
        <w:jc w:val="center"/>
        <w:tblLayout w:type="fixed"/>
        <w:tblCellMar>
          <w:top w:w="0" w:type="dxa"/>
          <w:left w:w="85" w:type="dxa"/>
          <w:bottom w:w="0" w:type="dxa"/>
          <w:right w:w="85" w:type="dxa"/>
        </w:tblCellMar>
      </w:tblPr>
      <w:tblGrid>
        <w:gridCol w:w="720"/>
        <w:gridCol w:w="2887"/>
        <w:gridCol w:w="2165"/>
        <w:gridCol w:w="2316"/>
        <w:gridCol w:w="1834"/>
      </w:tblGrid>
      <w:tr>
        <w:tblPrEx>
          <w:tblCellMar>
            <w:top w:w="0" w:type="dxa"/>
            <w:left w:w="85" w:type="dxa"/>
            <w:bottom w:w="0" w:type="dxa"/>
            <w:right w:w="85" w:type="dxa"/>
          </w:tblCellMar>
        </w:tblPrEx>
        <w:trPr>
          <w:wBefore w:w="0" w:type="dxa"/>
          <w:wAfter w:w="0" w:type="dxa"/>
          <w:trHeight w:val="567" w:hRule="atLeast"/>
          <w:tblHeader/>
          <w:jc w:val="center"/>
        </w:trPr>
        <w:tc>
          <w:tcPr>
            <w:tcW w:w="363"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145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企业名称</w:t>
            </w:r>
          </w:p>
        </w:tc>
        <w:tc>
          <w:tcPr>
            <w:tcW w:w="1091"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综合利用资源</w:t>
            </w:r>
          </w:p>
        </w:tc>
        <w:tc>
          <w:tcPr>
            <w:tcW w:w="1167"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综合利用产品</w:t>
            </w:r>
          </w:p>
        </w:tc>
        <w:tc>
          <w:tcPr>
            <w:tcW w:w="924"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证书有效期</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广州市志森实业有限公司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废塑料</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涤纶短纤维</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广州海绵城市建设有限公司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建筑废物</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建筑砂石骨料</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3</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广州亿成油脂实业有限公司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下脚料（动物组织）</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饲料级动物油脂</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饲料级油渣</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4</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广东新瑞龙生态建材有限公司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建筑垃圾</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轻质墙板</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建筑砂石骨料</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混凝土</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透水砖（市政砖）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砂浆</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预制复合墙板</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5</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汕头市腾威塑料五金制品有限公司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废塑料</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环保再生塑料制品（衣架）</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环保再生塑料粒</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6</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汕头市平安顺纸业有限公司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废纸</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环保再生包装用纸（箱板纸）</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7</w:t>
            </w:r>
          </w:p>
        </w:tc>
        <w:tc>
          <w:tcPr>
            <w:tcW w:w="1455"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广东绿富域资源再生科技有限公司</w:t>
            </w:r>
          </w:p>
        </w:tc>
        <w:tc>
          <w:tcPr>
            <w:tcW w:w="1091" w:type="pct"/>
            <w:vMerge w:val="restart"/>
            <w:tcBorders>
              <w:top w:val="nil"/>
              <w:left w:val="single" w:color="auto" w:sz="8" w:space="0"/>
              <w:bottom w:val="single" w:color="000000"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炉渣</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铁</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铝</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铜</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color w:val="000000"/>
                <w:kern w:val="0"/>
                <w:sz w:val="24"/>
              </w:rPr>
            </w:pPr>
          </w:p>
        </w:tc>
        <w:tc>
          <w:tcPr>
            <w:tcW w:w="1455"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091" w:type="pct"/>
            <w:vMerge w:val="continue"/>
            <w:tcBorders>
              <w:top w:val="nil"/>
              <w:left w:val="single" w:color="auto" w:sz="8" w:space="0"/>
              <w:bottom w:val="single" w:color="000000" w:sz="8" w:space="0"/>
              <w:right w:val="single" w:color="auto" w:sz="8" w:space="0"/>
            </w:tcBorders>
            <w:shd w:val="clear" w:color="auto" w:fill="auto"/>
            <w:noWrap w:val="0"/>
            <w:vAlign w:val="center"/>
          </w:tcPr>
          <w:p>
            <w:pPr>
              <w:widowControl/>
              <w:jc w:val="left"/>
              <w:rPr>
                <w:rFonts w:ascii="宋体" w:hAnsi="宋体" w:cs="宋体"/>
                <w:color w:val="000000"/>
                <w:kern w:val="0"/>
                <w:sz w:val="24"/>
              </w:rPr>
            </w:pP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环保沙</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8</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佛山市南海区浚亿板材有限公司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三剩物</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刨花板</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9</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水木金谷环境科技有限公司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污泥类固废改性和免烧结制绿色建材</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污泥类固废改性和免烧结制绿色建材</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10</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仁化县华粤煤矸石电力有限公司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电力</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11</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连平县明盛新型建材厂</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12</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兴宁市新丰新型建材有限公司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煤矸石、粉煤灰</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13</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兴宁市通用新型环保建材有限公司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煤矸石、粉煤灰</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非粘土烧结普通砖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14</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梅州市大平龙伟砖厂有限公司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煤矸石、干化污泥、粉煤灰</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非粘土烧结普通砖</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15</w:t>
            </w:r>
          </w:p>
        </w:tc>
        <w:tc>
          <w:tcPr>
            <w:tcW w:w="1455" w:type="pct"/>
            <w:tcBorders>
              <w:top w:val="nil"/>
              <w:left w:val="nil"/>
              <w:bottom w:val="single" w:color="auto" w:sz="8" w:space="0"/>
              <w:right w:val="single" w:color="auto" w:sz="8" w:space="0"/>
            </w:tcBorders>
            <w:shd w:val="clear" w:color="auto" w:fill="auto"/>
            <w:noWrap/>
            <w:vAlign w:val="center"/>
          </w:tcPr>
          <w:p>
            <w:pPr>
              <w:widowControl/>
              <w:spacing w:line="360" w:lineRule="auto"/>
              <w:jc w:val="left"/>
              <w:rPr>
                <w:kern w:val="0"/>
                <w:sz w:val="24"/>
              </w:rPr>
            </w:pPr>
            <w:r>
              <w:rPr>
                <w:rFonts w:hint="eastAsia"/>
                <w:kern w:val="0"/>
                <w:sz w:val="24"/>
              </w:rPr>
              <w:t>中山市薪泰生物能源科技有限公司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spacing w:line="360" w:lineRule="auto"/>
              <w:jc w:val="center"/>
              <w:rPr>
                <w:color w:val="000000"/>
                <w:kern w:val="0"/>
                <w:sz w:val="24"/>
              </w:rPr>
            </w:pPr>
            <w:r>
              <w:rPr>
                <w:color w:val="000000"/>
                <w:kern w:val="0"/>
                <w:sz w:val="24"/>
              </w:rPr>
              <w:t>三剩物（边角余料）</w:t>
            </w:r>
          </w:p>
        </w:tc>
        <w:tc>
          <w:tcPr>
            <w:tcW w:w="1167" w:type="pct"/>
            <w:tcBorders>
              <w:top w:val="nil"/>
              <w:left w:val="nil"/>
              <w:bottom w:val="single" w:color="auto" w:sz="8" w:space="0"/>
              <w:right w:val="single" w:color="auto" w:sz="8" w:space="0"/>
            </w:tcBorders>
            <w:shd w:val="clear" w:color="auto" w:fill="auto"/>
            <w:noWrap/>
            <w:vAlign w:val="center"/>
          </w:tcPr>
          <w:p>
            <w:pPr>
              <w:widowControl/>
              <w:spacing w:line="360" w:lineRule="auto"/>
              <w:jc w:val="center"/>
              <w:rPr>
                <w:color w:val="000000"/>
                <w:kern w:val="0"/>
                <w:sz w:val="24"/>
              </w:rPr>
            </w:pPr>
            <w:r>
              <w:rPr>
                <w:color w:val="000000"/>
                <w:kern w:val="0"/>
                <w:sz w:val="24"/>
              </w:rPr>
              <w:t>生物质颗粒</w:t>
            </w:r>
          </w:p>
        </w:tc>
        <w:tc>
          <w:tcPr>
            <w:tcW w:w="924" w:type="pct"/>
            <w:tcBorders>
              <w:top w:val="nil"/>
              <w:left w:val="nil"/>
              <w:bottom w:val="single" w:color="auto" w:sz="8" w:space="0"/>
              <w:right w:val="single" w:color="auto" w:sz="8" w:space="0"/>
            </w:tcBorders>
            <w:shd w:val="clear" w:color="auto" w:fill="auto"/>
            <w:noWrap/>
            <w:vAlign w:val="center"/>
          </w:tcPr>
          <w:p>
            <w:pPr>
              <w:widowControl/>
              <w:spacing w:line="360" w:lineRule="auto"/>
              <w:jc w:val="center"/>
              <w:rPr>
                <w:color w:val="000000"/>
                <w:kern w:val="0"/>
                <w:sz w:val="24"/>
              </w:rPr>
            </w:pPr>
            <w:r>
              <w:rPr>
                <w:color w:val="000000"/>
                <w:kern w:val="0"/>
                <w:sz w:val="24"/>
              </w:rPr>
              <w:t>2021年9月至2023年8月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16</w:t>
            </w:r>
          </w:p>
        </w:tc>
        <w:tc>
          <w:tcPr>
            <w:tcW w:w="1455"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广东信基新材料科技有限公司</w:t>
            </w:r>
          </w:p>
        </w:tc>
        <w:tc>
          <w:tcPr>
            <w:tcW w:w="1091"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废塑料</w:t>
            </w:r>
          </w:p>
        </w:tc>
        <w:tc>
          <w:tcPr>
            <w:tcW w:w="1167" w:type="pct"/>
            <w:tcBorders>
              <w:top w:val="nil"/>
              <w:left w:val="nil"/>
              <w:bottom w:val="single" w:color="auto" w:sz="8"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再生塑料制品（</w:t>
            </w:r>
            <w:r>
              <w:rPr>
                <w:color w:val="000000"/>
                <w:kern w:val="0"/>
                <w:sz w:val="24"/>
              </w:rPr>
              <w:t>ABS</w:t>
            </w:r>
            <w:r>
              <w:rPr>
                <w:rFonts w:hint="eastAsia" w:ascii="宋体" w:hAnsi="宋体" w:cs="宋体"/>
                <w:color w:val="000000"/>
                <w:kern w:val="0"/>
                <w:sz w:val="24"/>
              </w:rPr>
              <w:t>、</w:t>
            </w:r>
            <w:r>
              <w:rPr>
                <w:color w:val="000000"/>
                <w:kern w:val="0"/>
                <w:sz w:val="24"/>
              </w:rPr>
              <w:t>PS</w:t>
            </w:r>
            <w:r>
              <w:rPr>
                <w:rFonts w:hint="eastAsia" w:ascii="宋体" w:hAnsi="宋体" w:cs="宋体"/>
                <w:color w:val="000000"/>
                <w:kern w:val="0"/>
                <w:sz w:val="24"/>
              </w:rPr>
              <w:t>）</w:t>
            </w:r>
          </w:p>
        </w:tc>
        <w:tc>
          <w:tcPr>
            <w:tcW w:w="924" w:type="pct"/>
            <w:tcBorders>
              <w:top w:val="nil"/>
              <w:left w:val="nil"/>
              <w:bottom w:val="single" w:color="auto" w:sz="8"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nil"/>
              <w:left w:val="single" w:color="auto" w:sz="8" w:space="0"/>
              <w:bottom w:val="single" w:color="auto" w:sz="4"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17</w:t>
            </w:r>
          </w:p>
        </w:tc>
        <w:tc>
          <w:tcPr>
            <w:tcW w:w="1455" w:type="pct"/>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广东粤北联合钢铁有限公司</w:t>
            </w:r>
          </w:p>
        </w:tc>
        <w:tc>
          <w:tcPr>
            <w:tcW w:w="1091" w:type="pct"/>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冶炼废渣</w:t>
            </w:r>
          </w:p>
        </w:tc>
        <w:tc>
          <w:tcPr>
            <w:tcW w:w="1167" w:type="pct"/>
            <w:tcBorders>
              <w:top w:val="nil"/>
              <w:left w:val="nil"/>
              <w:bottom w:val="single" w:color="auto" w:sz="4" w:space="0"/>
              <w:right w:val="single" w:color="auto" w:sz="8"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炼钢炉料</w:t>
            </w:r>
          </w:p>
        </w:tc>
        <w:tc>
          <w:tcPr>
            <w:tcW w:w="924" w:type="pct"/>
            <w:tcBorders>
              <w:top w:val="nil"/>
              <w:left w:val="nil"/>
              <w:bottom w:val="single" w:color="auto" w:sz="4" w:space="0"/>
              <w:right w:val="single" w:color="auto" w:sz="8"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r>
        <w:tblPrEx>
          <w:tblCellMar>
            <w:top w:w="0" w:type="dxa"/>
            <w:left w:w="85" w:type="dxa"/>
            <w:bottom w:w="0" w:type="dxa"/>
            <w:right w:w="85" w:type="dxa"/>
          </w:tblCellMar>
        </w:tblPrEx>
        <w:trPr>
          <w:wBefore w:w="0" w:type="dxa"/>
          <w:wAfter w:w="0" w:type="dxa"/>
          <w:trHeight w:val="567" w:hRule="atLeast"/>
          <w:jc w:val="center"/>
        </w:trPr>
        <w:tc>
          <w:tcPr>
            <w:tcW w:w="363"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24"/>
              </w:rPr>
            </w:pPr>
            <w:r>
              <w:rPr>
                <w:rFonts w:hint="eastAsia"/>
                <w:color w:val="000000"/>
                <w:kern w:val="0"/>
                <w:sz w:val="24"/>
              </w:rPr>
              <w:t>1</w:t>
            </w:r>
            <w:r>
              <w:rPr>
                <w:color w:val="000000"/>
                <w:kern w:val="0"/>
                <w:sz w:val="24"/>
              </w:rPr>
              <w:t>8</w:t>
            </w:r>
          </w:p>
        </w:tc>
        <w:tc>
          <w:tcPr>
            <w:tcW w:w="1455"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潮州市东润油脂有限公司</w:t>
            </w:r>
          </w:p>
        </w:tc>
        <w:tc>
          <w:tcPr>
            <w:tcW w:w="109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废弃动植物油</w:t>
            </w:r>
          </w:p>
        </w:tc>
        <w:tc>
          <w:tcPr>
            <w:tcW w:w="1167"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工业级混合油</w:t>
            </w:r>
          </w:p>
        </w:tc>
        <w:tc>
          <w:tcPr>
            <w:tcW w:w="924"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kern w:val="0"/>
                <w:sz w:val="24"/>
              </w:rPr>
            </w:pPr>
            <w:r>
              <w:rPr>
                <w:color w:val="000000"/>
                <w:kern w:val="0"/>
                <w:sz w:val="24"/>
              </w:rPr>
              <w:t>2021</w:t>
            </w:r>
            <w:r>
              <w:rPr>
                <w:rFonts w:hint="eastAsia" w:ascii="宋体" w:hAnsi="宋体"/>
                <w:color w:val="000000"/>
                <w:kern w:val="0"/>
                <w:sz w:val="24"/>
              </w:rPr>
              <w:t>年</w:t>
            </w:r>
            <w:r>
              <w:rPr>
                <w:color w:val="000000"/>
                <w:kern w:val="0"/>
                <w:sz w:val="24"/>
              </w:rPr>
              <w:t>1</w:t>
            </w:r>
            <w:r>
              <w:rPr>
                <w:rFonts w:hint="eastAsia" w:ascii="宋体" w:hAnsi="宋体"/>
                <w:color w:val="000000"/>
                <w:kern w:val="0"/>
                <w:sz w:val="24"/>
              </w:rPr>
              <w:t>月至</w:t>
            </w:r>
            <w:r>
              <w:rPr>
                <w:color w:val="000000"/>
                <w:kern w:val="0"/>
                <w:sz w:val="24"/>
              </w:rPr>
              <w:t>2022</w:t>
            </w:r>
            <w:r>
              <w:rPr>
                <w:rFonts w:hint="eastAsia" w:ascii="宋体" w:hAnsi="宋体"/>
                <w:color w:val="000000"/>
                <w:kern w:val="0"/>
                <w:sz w:val="24"/>
              </w:rPr>
              <w:t>年</w:t>
            </w:r>
            <w:r>
              <w:rPr>
                <w:color w:val="000000"/>
                <w:kern w:val="0"/>
                <w:sz w:val="24"/>
              </w:rPr>
              <w:t>12</w:t>
            </w:r>
            <w:r>
              <w:rPr>
                <w:rFonts w:hint="eastAsia" w:ascii="宋体" w:hAnsi="宋体"/>
                <w:color w:val="000000"/>
                <w:kern w:val="0"/>
                <w:sz w:val="24"/>
              </w:rPr>
              <w:t>月</w:t>
            </w:r>
          </w:p>
        </w:tc>
      </w:tr>
    </w:tbl>
    <w:p>
      <w:pPr>
        <w:widowControl/>
        <w:ind w:firstLine="560" w:firstLineChars="200"/>
        <w:jc w:val="left"/>
        <w:rPr>
          <w:sz w:val="28"/>
        </w:rPr>
      </w:pPr>
      <w:r>
        <w:rPr>
          <w:rFonts w:hint="eastAsia"/>
          <w:sz w:val="28"/>
        </w:rPr>
        <w:t>注：此表仅统计2</w:t>
      </w:r>
      <w:r>
        <w:rPr>
          <w:sz w:val="28"/>
        </w:rPr>
        <w:t>022年度证书到期企业，</w:t>
      </w:r>
      <w:r>
        <w:rPr>
          <w:rFonts w:hint="eastAsia"/>
          <w:sz w:val="28"/>
        </w:rPr>
        <w:t>2</w:t>
      </w:r>
      <w:r>
        <w:rPr>
          <w:sz w:val="28"/>
        </w:rPr>
        <w:t>021年度及以前证书到期企业请自行查看证书有效期或咨询协会工作人员。</w:t>
      </w:r>
    </w:p>
    <w:p>
      <w:pPr>
        <w:widowControl/>
        <w:ind w:firstLine="600" w:firstLineChars="200"/>
        <w:jc w:val="left"/>
        <w:rPr>
          <w:rFonts w:ascii="仿宋" w:hAnsi="仿宋" w:eastAsia="仿宋"/>
          <w:sz w:val="30"/>
          <w:szCs w:val="30"/>
        </w:rPr>
      </w:pPr>
      <w:bookmarkStart w:id="1" w:name="_GoBack"/>
      <w:bookmarkEnd w:id="1"/>
    </w:p>
    <w:sectPr>
      <w:pgSz w:w="11906" w:h="16838"/>
      <w:pgMar w:top="1440" w:right="1077" w:bottom="1440" w:left="1077" w:header="851" w:footer="851" w:gutter="0"/>
      <w:pgNumType w:fmt="numberInDash" w:start="3"/>
      <w:cols w:space="720"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5"/>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YWI3ZmExNzBiZjU3NTQwMjUxNzBmNzg4NWFlM2UifQ=="/>
  </w:docVars>
  <w:rsids>
    <w:rsidRoot w:val="003C7C5A"/>
    <w:rsid w:val="00000AEC"/>
    <w:rsid w:val="00002606"/>
    <w:rsid w:val="00006822"/>
    <w:rsid w:val="00017E11"/>
    <w:rsid w:val="000261EA"/>
    <w:rsid w:val="000424DE"/>
    <w:rsid w:val="00044B5D"/>
    <w:rsid w:val="00044DB0"/>
    <w:rsid w:val="00050D16"/>
    <w:rsid w:val="00054F22"/>
    <w:rsid w:val="0007148D"/>
    <w:rsid w:val="00081617"/>
    <w:rsid w:val="0009044D"/>
    <w:rsid w:val="00093159"/>
    <w:rsid w:val="000B4A1B"/>
    <w:rsid w:val="000B50DC"/>
    <w:rsid w:val="000C45B3"/>
    <w:rsid w:val="000D569E"/>
    <w:rsid w:val="000E065E"/>
    <w:rsid w:val="000F3EE0"/>
    <w:rsid w:val="000F4479"/>
    <w:rsid w:val="000F7766"/>
    <w:rsid w:val="001050C9"/>
    <w:rsid w:val="00112E2B"/>
    <w:rsid w:val="00131BFD"/>
    <w:rsid w:val="00157A83"/>
    <w:rsid w:val="00157F10"/>
    <w:rsid w:val="0019548B"/>
    <w:rsid w:val="001A406B"/>
    <w:rsid w:val="001A706B"/>
    <w:rsid w:val="001B10D6"/>
    <w:rsid w:val="001C0E65"/>
    <w:rsid w:val="001C50DE"/>
    <w:rsid w:val="001C7C4B"/>
    <w:rsid w:val="001D6399"/>
    <w:rsid w:val="001E124F"/>
    <w:rsid w:val="001E79D0"/>
    <w:rsid w:val="001E7BDE"/>
    <w:rsid w:val="00201665"/>
    <w:rsid w:val="00203A2D"/>
    <w:rsid w:val="00207520"/>
    <w:rsid w:val="00211863"/>
    <w:rsid w:val="002123D3"/>
    <w:rsid w:val="00214AB0"/>
    <w:rsid w:val="00224E58"/>
    <w:rsid w:val="002274E2"/>
    <w:rsid w:val="0023331B"/>
    <w:rsid w:val="0023760E"/>
    <w:rsid w:val="00241252"/>
    <w:rsid w:val="00242818"/>
    <w:rsid w:val="0024687D"/>
    <w:rsid w:val="00246AC8"/>
    <w:rsid w:val="00253A7D"/>
    <w:rsid w:val="0025503E"/>
    <w:rsid w:val="00260FE5"/>
    <w:rsid w:val="0026198F"/>
    <w:rsid w:val="0026465A"/>
    <w:rsid w:val="00264795"/>
    <w:rsid w:val="002700F6"/>
    <w:rsid w:val="0027518F"/>
    <w:rsid w:val="0027588A"/>
    <w:rsid w:val="00282FB1"/>
    <w:rsid w:val="0028529A"/>
    <w:rsid w:val="00287EAE"/>
    <w:rsid w:val="00295767"/>
    <w:rsid w:val="00295A6B"/>
    <w:rsid w:val="002A13B1"/>
    <w:rsid w:val="002A56F1"/>
    <w:rsid w:val="002A61CE"/>
    <w:rsid w:val="002D1758"/>
    <w:rsid w:val="002D42C6"/>
    <w:rsid w:val="002E7DBD"/>
    <w:rsid w:val="002F0819"/>
    <w:rsid w:val="002F0D2A"/>
    <w:rsid w:val="002F365C"/>
    <w:rsid w:val="0031236F"/>
    <w:rsid w:val="00315B5E"/>
    <w:rsid w:val="00315F9E"/>
    <w:rsid w:val="00320331"/>
    <w:rsid w:val="00333E49"/>
    <w:rsid w:val="0033711A"/>
    <w:rsid w:val="0035139E"/>
    <w:rsid w:val="00351598"/>
    <w:rsid w:val="00356DA1"/>
    <w:rsid w:val="00371E18"/>
    <w:rsid w:val="003737C0"/>
    <w:rsid w:val="00374831"/>
    <w:rsid w:val="00375E83"/>
    <w:rsid w:val="00377C63"/>
    <w:rsid w:val="00382720"/>
    <w:rsid w:val="0038783C"/>
    <w:rsid w:val="00396C05"/>
    <w:rsid w:val="003A3C4F"/>
    <w:rsid w:val="003B3510"/>
    <w:rsid w:val="003C6B89"/>
    <w:rsid w:val="003C7C5A"/>
    <w:rsid w:val="003D0F48"/>
    <w:rsid w:val="003D423A"/>
    <w:rsid w:val="003E6A98"/>
    <w:rsid w:val="004059F4"/>
    <w:rsid w:val="00407F0E"/>
    <w:rsid w:val="00411C29"/>
    <w:rsid w:val="00413C6C"/>
    <w:rsid w:val="0042002D"/>
    <w:rsid w:val="004309D9"/>
    <w:rsid w:val="00436568"/>
    <w:rsid w:val="00453A6A"/>
    <w:rsid w:val="00454CF6"/>
    <w:rsid w:val="00457ACB"/>
    <w:rsid w:val="00465A2D"/>
    <w:rsid w:val="00466984"/>
    <w:rsid w:val="00487F97"/>
    <w:rsid w:val="00491C64"/>
    <w:rsid w:val="00492180"/>
    <w:rsid w:val="0049238E"/>
    <w:rsid w:val="0049646F"/>
    <w:rsid w:val="004A0AC3"/>
    <w:rsid w:val="004A7168"/>
    <w:rsid w:val="004B390D"/>
    <w:rsid w:val="004B6BB7"/>
    <w:rsid w:val="004C1D57"/>
    <w:rsid w:val="004C1E89"/>
    <w:rsid w:val="004C7AEB"/>
    <w:rsid w:val="004D3869"/>
    <w:rsid w:val="004D5549"/>
    <w:rsid w:val="004F09F5"/>
    <w:rsid w:val="004F548F"/>
    <w:rsid w:val="004F5E60"/>
    <w:rsid w:val="004F6763"/>
    <w:rsid w:val="005008DE"/>
    <w:rsid w:val="0050153C"/>
    <w:rsid w:val="00511326"/>
    <w:rsid w:val="005216A2"/>
    <w:rsid w:val="00530893"/>
    <w:rsid w:val="00534D15"/>
    <w:rsid w:val="00537E01"/>
    <w:rsid w:val="0054266B"/>
    <w:rsid w:val="0054720F"/>
    <w:rsid w:val="00556F9F"/>
    <w:rsid w:val="005640AE"/>
    <w:rsid w:val="00581C71"/>
    <w:rsid w:val="005948DC"/>
    <w:rsid w:val="0059635D"/>
    <w:rsid w:val="005A1563"/>
    <w:rsid w:val="005B3955"/>
    <w:rsid w:val="005B6035"/>
    <w:rsid w:val="005C25EF"/>
    <w:rsid w:val="005C7230"/>
    <w:rsid w:val="005D5F7C"/>
    <w:rsid w:val="005E041A"/>
    <w:rsid w:val="005F240C"/>
    <w:rsid w:val="005F6587"/>
    <w:rsid w:val="006010F8"/>
    <w:rsid w:val="006110B2"/>
    <w:rsid w:val="00620196"/>
    <w:rsid w:val="006206F2"/>
    <w:rsid w:val="00622A92"/>
    <w:rsid w:val="00632F92"/>
    <w:rsid w:val="006341C3"/>
    <w:rsid w:val="00637200"/>
    <w:rsid w:val="00654C0D"/>
    <w:rsid w:val="00655301"/>
    <w:rsid w:val="00657499"/>
    <w:rsid w:val="00665A81"/>
    <w:rsid w:val="00670D99"/>
    <w:rsid w:val="0067596A"/>
    <w:rsid w:val="00675AFA"/>
    <w:rsid w:val="00680E03"/>
    <w:rsid w:val="00681286"/>
    <w:rsid w:val="00690DEA"/>
    <w:rsid w:val="006C013B"/>
    <w:rsid w:val="006C736B"/>
    <w:rsid w:val="006E1EE0"/>
    <w:rsid w:val="006E69A6"/>
    <w:rsid w:val="006F503F"/>
    <w:rsid w:val="006F7443"/>
    <w:rsid w:val="00702E92"/>
    <w:rsid w:val="00710A07"/>
    <w:rsid w:val="00716DCD"/>
    <w:rsid w:val="007228F2"/>
    <w:rsid w:val="00742600"/>
    <w:rsid w:val="00751C91"/>
    <w:rsid w:val="007565ED"/>
    <w:rsid w:val="00757795"/>
    <w:rsid w:val="007627BC"/>
    <w:rsid w:val="007636B4"/>
    <w:rsid w:val="00773BEF"/>
    <w:rsid w:val="00774822"/>
    <w:rsid w:val="0077684C"/>
    <w:rsid w:val="007779BF"/>
    <w:rsid w:val="007838F9"/>
    <w:rsid w:val="007873B2"/>
    <w:rsid w:val="007971B6"/>
    <w:rsid w:val="007A5894"/>
    <w:rsid w:val="007C6A08"/>
    <w:rsid w:val="007E4256"/>
    <w:rsid w:val="007F4596"/>
    <w:rsid w:val="008041D4"/>
    <w:rsid w:val="008058BB"/>
    <w:rsid w:val="0081036C"/>
    <w:rsid w:val="00814046"/>
    <w:rsid w:val="00817AEC"/>
    <w:rsid w:val="008534DA"/>
    <w:rsid w:val="00855E9F"/>
    <w:rsid w:val="00856C95"/>
    <w:rsid w:val="00857525"/>
    <w:rsid w:val="00862C0C"/>
    <w:rsid w:val="00880D53"/>
    <w:rsid w:val="008839C8"/>
    <w:rsid w:val="008878EB"/>
    <w:rsid w:val="00894D43"/>
    <w:rsid w:val="008970A4"/>
    <w:rsid w:val="008A28DD"/>
    <w:rsid w:val="008A619D"/>
    <w:rsid w:val="008B61EF"/>
    <w:rsid w:val="008E7022"/>
    <w:rsid w:val="008F0666"/>
    <w:rsid w:val="008F1188"/>
    <w:rsid w:val="008F4821"/>
    <w:rsid w:val="009023EB"/>
    <w:rsid w:val="009124ED"/>
    <w:rsid w:val="0091329B"/>
    <w:rsid w:val="00915646"/>
    <w:rsid w:val="009220C2"/>
    <w:rsid w:val="00924D53"/>
    <w:rsid w:val="00927D36"/>
    <w:rsid w:val="00942445"/>
    <w:rsid w:val="00950800"/>
    <w:rsid w:val="0096458F"/>
    <w:rsid w:val="00965F1B"/>
    <w:rsid w:val="009664F9"/>
    <w:rsid w:val="00974D23"/>
    <w:rsid w:val="00976F7F"/>
    <w:rsid w:val="009877B9"/>
    <w:rsid w:val="009A5D86"/>
    <w:rsid w:val="009C4A1E"/>
    <w:rsid w:val="009D318E"/>
    <w:rsid w:val="009D5576"/>
    <w:rsid w:val="009F134A"/>
    <w:rsid w:val="009F3517"/>
    <w:rsid w:val="009F394B"/>
    <w:rsid w:val="00A00EAC"/>
    <w:rsid w:val="00A011B3"/>
    <w:rsid w:val="00A0123E"/>
    <w:rsid w:val="00A021E7"/>
    <w:rsid w:val="00A0546E"/>
    <w:rsid w:val="00A055AF"/>
    <w:rsid w:val="00A06632"/>
    <w:rsid w:val="00A11F77"/>
    <w:rsid w:val="00A129B7"/>
    <w:rsid w:val="00A14078"/>
    <w:rsid w:val="00A2483D"/>
    <w:rsid w:val="00A24FD6"/>
    <w:rsid w:val="00A2799C"/>
    <w:rsid w:val="00A3332C"/>
    <w:rsid w:val="00A427C4"/>
    <w:rsid w:val="00A42EC4"/>
    <w:rsid w:val="00A500D6"/>
    <w:rsid w:val="00A61D5C"/>
    <w:rsid w:val="00A67D60"/>
    <w:rsid w:val="00A71373"/>
    <w:rsid w:val="00A71D15"/>
    <w:rsid w:val="00A773ED"/>
    <w:rsid w:val="00A85983"/>
    <w:rsid w:val="00A85D3B"/>
    <w:rsid w:val="00A860C6"/>
    <w:rsid w:val="00A938B5"/>
    <w:rsid w:val="00A95A58"/>
    <w:rsid w:val="00AA3295"/>
    <w:rsid w:val="00AA661B"/>
    <w:rsid w:val="00AB01FC"/>
    <w:rsid w:val="00AB1757"/>
    <w:rsid w:val="00AB5F2F"/>
    <w:rsid w:val="00AB67FE"/>
    <w:rsid w:val="00AD4CCF"/>
    <w:rsid w:val="00AE7CE1"/>
    <w:rsid w:val="00AF36AC"/>
    <w:rsid w:val="00AF4ED3"/>
    <w:rsid w:val="00AF66AB"/>
    <w:rsid w:val="00B16018"/>
    <w:rsid w:val="00B23B53"/>
    <w:rsid w:val="00B26860"/>
    <w:rsid w:val="00B33B09"/>
    <w:rsid w:val="00B40D27"/>
    <w:rsid w:val="00B53E41"/>
    <w:rsid w:val="00B67CD6"/>
    <w:rsid w:val="00B71B85"/>
    <w:rsid w:val="00B71F3C"/>
    <w:rsid w:val="00B73F4C"/>
    <w:rsid w:val="00B73F7F"/>
    <w:rsid w:val="00B82B33"/>
    <w:rsid w:val="00B8358A"/>
    <w:rsid w:val="00B85A1F"/>
    <w:rsid w:val="00BB3845"/>
    <w:rsid w:val="00BB44F5"/>
    <w:rsid w:val="00BC2CD6"/>
    <w:rsid w:val="00BD60F8"/>
    <w:rsid w:val="00BE381F"/>
    <w:rsid w:val="00BE6BB2"/>
    <w:rsid w:val="00BF098A"/>
    <w:rsid w:val="00BF709A"/>
    <w:rsid w:val="00C01637"/>
    <w:rsid w:val="00C071C4"/>
    <w:rsid w:val="00C12205"/>
    <w:rsid w:val="00C13A49"/>
    <w:rsid w:val="00C15D49"/>
    <w:rsid w:val="00C22395"/>
    <w:rsid w:val="00C40931"/>
    <w:rsid w:val="00C41A07"/>
    <w:rsid w:val="00C4533F"/>
    <w:rsid w:val="00C75D41"/>
    <w:rsid w:val="00C77E92"/>
    <w:rsid w:val="00C945C6"/>
    <w:rsid w:val="00C96AED"/>
    <w:rsid w:val="00CC4E20"/>
    <w:rsid w:val="00CE1C91"/>
    <w:rsid w:val="00CE3F30"/>
    <w:rsid w:val="00D01885"/>
    <w:rsid w:val="00D15D63"/>
    <w:rsid w:val="00D16897"/>
    <w:rsid w:val="00D16F73"/>
    <w:rsid w:val="00D17BDB"/>
    <w:rsid w:val="00D26E2D"/>
    <w:rsid w:val="00D41921"/>
    <w:rsid w:val="00D46CEE"/>
    <w:rsid w:val="00D707B0"/>
    <w:rsid w:val="00D749B1"/>
    <w:rsid w:val="00D75818"/>
    <w:rsid w:val="00D81453"/>
    <w:rsid w:val="00D8688C"/>
    <w:rsid w:val="00D9361F"/>
    <w:rsid w:val="00DA4281"/>
    <w:rsid w:val="00DA4511"/>
    <w:rsid w:val="00DA4BC1"/>
    <w:rsid w:val="00DB098B"/>
    <w:rsid w:val="00DB3044"/>
    <w:rsid w:val="00DB44AA"/>
    <w:rsid w:val="00DB4A6A"/>
    <w:rsid w:val="00DC7BD7"/>
    <w:rsid w:val="00DF637E"/>
    <w:rsid w:val="00DF66C5"/>
    <w:rsid w:val="00E01DD2"/>
    <w:rsid w:val="00E237C8"/>
    <w:rsid w:val="00E24175"/>
    <w:rsid w:val="00E35D62"/>
    <w:rsid w:val="00E4359D"/>
    <w:rsid w:val="00E46154"/>
    <w:rsid w:val="00E472D5"/>
    <w:rsid w:val="00E504FF"/>
    <w:rsid w:val="00E520D2"/>
    <w:rsid w:val="00E52342"/>
    <w:rsid w:val="00E57316"/>
    <w:rsid w:val="00E57DD0"/>
    <w:rsid w:val="00E71DE5"/>
    <w:rsid w:val="00E836DC"/>
    <w:rsid w:val="00E84986"/>
    <w:rsid w:val="00EA32D2"/>
    <w:rsid w:val="00EA353C"/>
    <w:rsid w:val="00EB01DF"/>
    <w:rsid w:val="00EB17C8"/>
    <w:rsid w:val="00EB2128"/>
    <w:rsid w:val="00EC3148"/>
    <w:rsid w:val="00EC6597"/>
    <w:rsid w:val="00ED0A7C"/>
    <w:rsid w:val="00ED4740"/>
    <w:rsid w:val="00ED71F9"/>
    <w:rsid w:val="00EE5956"/>
    <w:rsid w:val="00EF0391"/>
    <w:rsid w:val="00EF0EF8"/>
    <w:rsid w:val="00EF3FF3"/>
    <w:rsid w:val="00EF4657"/>
    <w:rsid w:val="00F04E74"/>
    <w:rsid w:val="00F06F48"/>
    <w:rsid w:val="00F12F32"/>
    <w:rsid w:val="00F23AA5"/>
    <w:rsid w:val="00F25311"/>
    <w:rsid w:val="00F31555"/>
    <w:rsid w:val="00F35B2C"/>
    <w:rsid w:val="00F4439C"/>
    <w:rsid w:val="00F5239E"/>
    <w:rsid w:val="00F6229C"/>
    <w:rsid w:val="00F63F68"/>
    <w:rsid w:val="00F80FF3"/>
    <w:rsid w:val="00F82572"/>
    <w:rsid w:val="00F834FE"/>
    <w:rsid w:val="00F83718"/>
    <w:rsid w:val="00F84A8B"/>
    <w:rsid w:val="00F961BF"/>
    <w:rsid w:val="00F96655"/>
    <w:rsid w:val="00F97E45"/>
    <w:rsid w:val="00FA03AB"/>
    <w:rsid w:val="00FA184E"/>
    <w:rsid w:val="00FB5BD8"/>
    <w:rsid w:val="00FD1878"/>
    <w:rsid w:val="00FD5390"/>
    <w:rsid w:val="00FE77B9"/>
    <w:rsid w:val="00FF12FF"/>
    <w:rsid w:val="031C160C"/>
    <w:rsid w:val="03234203"/>
    <w:rsid w:val="0F7F58B9"/>
    <w:rsid w:val="18B2246F"/>
    <w:rsid w:val="2359040B"/>
    <w:rsid w:val="2B2C33CC"/>
    <w:rsid w:val="3A8A2E97"/>
    <w:rsid w:val="3C96589D"/>
    <w:rsid w:val="479C27EE"/>
    <w:rsid w:val="4A1C4D73"/>
    <w:rsid w:val="5A883EF5"/>
    <w:rsid w:val="5D1A0130"/>
    <w:rsid w:val="5FF3437D"/>
    <w:rsid w:val="63E17D6C"/>
    <w:rsid w:val="71A33BCB"/>
    <w:rsid w:val="71F37403"/>
    <w:rsid w:val="72CC236B"/>
    <w:rsid w:val="72F21DD2"/>
    <w:rsid w:val="7E2524E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uiPriority w:val="0"/>
  </w:style>
  <w:style w:type="table" w:default="1" w:styleId="8">
    <w:name w:val="Normal Table"/>
    <w:semiHidden/>
    <w:uiPriority w:val="0"/>
    <w:tblPr>
      <w:tblStyle w:val="8"/>
      <w:tblCellMar>
        <w:top w:w="0" w:type="dxa"/>
        <w:left w:w="108" w:type="dxa"/>
        <w:bottom w:w="0" w:type="dxa"/>
        <w:right w:w="108" w:type="dxa"/>
      </w:tblCellMar>
    </w:tblPr>
  </w:style>
  <w:style w:type="paragraph" w:styleId="3">
    <w:name w:val="Date"/>
    <w:basedOn w:val="1"/>
    <w:next w:val="1"/>
    <w:uiPriority w:val="0"/>
    <w:pPr>
      <w:ind w:left="100" w:leftChars="2500"/>
    </w:pPr>
  </w:style>
  <w:style w:type="paragraph" w:styleId="4">
    <w:name w:val="Balloon Text"/>
    <w:basedOn w:val="1"/>
    <w:semiHidden/>
    <w:uiPriority w:val="0"/>
    <w:rPr>
      <w:sz w:val="18"/>
      <w:szCs w:val="18"/>
    </w:rPr>
  </w:style>
  <w:style w:type="paragraph" w:styleId="5">
    <w:name w:val="footer"/>
    <w:basedOn w:val="1"/>
    <w:link w:val="11"/>
    <w:uiPriority w:val="99"/>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99"/>
    <w:rPr>
      <w:sz w:val="24"/>
    </w:rPr>
  </w:style>
  <w:style w:type="character" w:styleId="10">
    <w:name w:val="page number"/>
    <w:uiPriority w:val="0"/>
  </w:style>
  <w:style w:type="character" w:customStyle="1" w:styleId="11">
    <w:name w:val="页脚 Char"/>
    <w:link w:val="5"/>
    <w:uiPriority w:val="99"/>
    <w:rPr>
      <w:kern w:val="2"/>
      <w:sz w:val="18"/>
      <w:szCs w:val="18"/>
    </w:rPr>
  </w:style>
  <w:style w:type="paragraph" w:customStyle="1" w:styleId="12">
    <w:name w:val="Char Char Char Char"/>
    <w:basedOn w:val="1"/>
    <w:uiPriority w:val="0"/>
    <w:pPr>
      <w:widowControl/>
      <w:adjustRightInd w:val="0"/>
      <w:spacing w:after="160" w:line="240" w:lineRule="exact"/>
      <w:jc w:val="left"/>
    </w:pPr>
    <w:rPr>
      <w:rFonts w:ascii="Verdana" w:hAnsi="Verdana"/>
      <w:kern w:val="0"/>
      <w:sz w:val="20"/>
      <w:szCs w:val="20"/>
      <w:lang w:eastAsia="en-US"/>
    </w:rPr>
  </w:style>
  <w:style w:type="paragraph" w:styleId="13">
    <w:name w:val="List Paragraph"/>
    <w:basedOn w:val="1"/>
    <w:qFormat/>
    <w:uiPriority w:val="34"/>
    <w:pPr>
      <w:ind w:firstLine="420" w:firstLineChars="200"/>
    </w:p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13</Pages>
  <Words>854</Words>
  <Characters>4873</Characters>
  <Lines>40</Lines>
  <Paragraphs>11</Paragraphs>
  <TotalTime>51</TotalTime>
  <ScaleCrop>false</ScaleCrop>
  <LinksUpToDate>false</LinksUpToDate>
  <CharactersWithSpaces>5716</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2022-10-25T06:34:00Z</dcterms:created>
  <dc:creator>Administrator</dc:creator>
  <cp:lastModifiedBy>mArxnLqiu</cp:lastModifiedBy>
  <cp:lastPrinted>2023-07-19T06:20:00Z</cp:lastPrinted>
  <dcterms:modified xsi:type="dcterms:W3CDTF">2023-10-07T09:17:54Z</dcterms:modified>
  <dc:title>粤循综协〔2012〕026号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AE82EBA3485847F7858B4BB932BEA8A6_13</vt:lpwstr>
  </property>
</Properties>
</file>